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A8" w:rsidRPr="00CC2360" w:rsidRDefault="003543A8" w:rsidP="003543A8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«УТВЕРЖДАЮ»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Председатель Комиссии по вопросам градостроительства, 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землепользования и застройки при Правительстве Москвы 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Северо-Восточном административном округе города Москвы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(подпись на оригинале)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В.Ю. Виноградов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 29 » апреля 2015 года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ПРОТОКОЛ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публичных слушаний № 9/5 от 9 апреля 2015 года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 проекту межевания территории квартала Бутырского района, ограниченного улицей Руставели, улицей Яблочкова, улицей Гончарова, 1-м </w:t>
      </w:r>
      <w:proofErr w:type="spellStart"/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Гончаровским</w:t>
      </w:r>
      <w:proofErr w:type="spellEnd"/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переулком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Общие сведения о проектах, представленных на публичные слушания: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Территория разработки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город Москва, район Бутырский, территории квартала, ограниченного: улицей Руставели, улицей Яблочкова, улицей Гончарова, 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1-м </w:t>
      </w:r>
      <w:proofErr w:type="spellStart"/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Гончаровским</w:t>
      </w:r>
      <w:proofErr w:type="spellEnd"/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переулком.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 разработки: 2014 г.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Организация-заказчик: 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Департамент городского имущества города Москвы, 115054, Москва, ул. Бахрушина, д.20, телефон (495) 959-18-88, http://dgi.mos.ru/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Организация-разработчик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ОАО «Моспроект-2» им. М.В. Посохина, 123056, Москва, 2ая Брестская, дом 5, строение 1, 1а, тел. 8-499-250-95-16, официальный сайт </w:t>
      </w:r>
      <w:hyperlink r:id="rId6" w:history="1">
        <w:r w:rsidRPr="00CC2360">
          <w:rPr>
            <w:rFonts w:ascii="Arial" w:eastAsia="Times New Roman" w:hAnsi="Arial" w:cs="Arial"/>
            <w:color w:val="024C8B"/>
            <w:sz w:val="20"/>
            <w:szCs w:val="20"/>
            <w:lang w:eastAsia="ru-RU"/>
          </w:rPr>
          <w:t>http://www.mosproject2.ru/</w:t>
        </w:r>
      </w:hyperlink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 проведения публичных слушаний: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Оповещение опубликовано в окружной газете «Звездный бульвар» № 8 (422) выход в свет 9.03.2015, экспозиция проведена с 17 марта 2015 года по 26 марта 2014 года, собрание участников публичных слушаний состоялось 31 марта 2015 года.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Формы оповещения: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Оповещение опубликовано в окружной газете «Звездный бульвар» № 8 (422) выход в свет 9.03.2015, официальный сайт управы Бутырского района </w:t>
      </w:r>
      <w:hyperlink r:id="rId7" w:history="1">
        <w:r w:rsidRPr="00CC2360">
          <w:rPr>
            <w:rFonts w:ascii="Arial" w:eastAsia="Times New Roman" w:hAnsi="Arial" w:cs="Arial"/>
            <w:color w:val="024C8B"/>
            <w:sz w:val="20"/>
            <w:szCs w:val="20"/>
            <w:lang w:eastAsia="ru-RU"/>
          </w:rPr>
          <w:t>http://butyrsky.mos.ru/</w:t>
        </w:r>
      </w:hyperlink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объявления на информационных стендах, досках и на подъездах жилых домов района.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проведения публичных слушаний: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Экспозиция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проведена по адресу: город Москва, ул. Милашенкова, д.14 в холле управы Бутырского района с 17 марта 2015 года по 26 марта 2015 года, понедельник-четверг – с 08.30 до 17.00, пятница - с 08.30 до 15.45 (21, 22 марта – выходные дни).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Собрание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проведено по адресу: город Москва, ул. Милашенкова, д.14 (конференц-зал) 31 марта 2015 года в 19.00.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Участники публичных слушаний: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Экспозицию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посетило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 человек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количество записей в книге учета посетителей и записи предложений и замечаний оставило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9 человек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собрании приняли участие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всего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92 человека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 из них жители – 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53 человека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работающие на предприятиях района –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38 человек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правообладатели земельных участков, объектов капитального строительства, жилых и нежилых помещений –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0 человек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собрании присутствовали представители органов исполнительной власти –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1</w:t>
      </w:r>
      <w:r w:rsidRPr="00CC23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человек.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ходе собрания поступило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53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предложения и замечания.</w:t>
      </w:r>
    </w:p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После проведения собрания поступило 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34</w:t>
      </w: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предложения и замечания.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7"/>
        <w:gridCol w:w="1560"/>
        <w:gridCol w:w="1955"/>
      </w:tblGrid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Предложения и замечания участников</w:t>
            </w:r>
          </w:p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публичных слушаний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Приложение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Поступившие в период работы экспозиции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Поступившие во время проведения собрания участников публичных слушаний с вопросами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3</w:t>
            </w:r>
          </w:p>
        </w:tc>
      </w:tr>
    </w:tbl>
    <w:p w:rsidR="003543A8" w:rsidRPr="00CC2360" w:rsidRDefault="003543A8" w:rsidP="003543A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Подписи членов комиссии на оригинале.</w:t>
      </w:r>
    </w:p>
    <w:p w:rsidR="003543A8" w:rsidRPr="00CC2360" w:rsidRDefault="003543A8" w:rsidP="003543A8">
      <w:pPr>
        <w:spacing w:before="120" w:after="312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 №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247"/>
        <w:gridCol w:w="3427"/>
      </w:tblGrid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Предложения, замечания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Павинская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Ерохина С.Н.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Горай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Фролова О.И.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Кононенко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Волгин В.Л.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Резников 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Резников В. 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Резников 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возражаю</w:t>
            </w:r>
          </w:p>
        </w:tc>
      </w:tr>
    </w:tbl>
    <w:p w:rsidR="003543A8" w:rsidRPr="00CC2360" w:rsidRDefault="003543A8" w:rsidP="003543A8">
      <w:pPr>
        <w:spacing w:before="120" w:after="312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 №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488"/>
        <w:gridCol w:w="3427"/>
      </w:tblGrid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Предложения, замечания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Троицкий К.А.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Уколов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Мельникова В.Н.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Степонайтис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Суслова О.В.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Сегал А.С.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Лозовая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Жежель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Евтушенко О.А.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Размашкина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Федотеина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Беляева И.И.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Дружкова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возражаю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Дружков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Павинская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Михеева Р.М..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Чередниченко Т.А.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Орлова 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Фролова В.И.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Колесникова Ю.В.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Гончаров О.Н.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Парина В.М.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Шилкин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 П.А.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Дрокова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Короваева Ю.Ю.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Абрамов 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Кудинов П.А.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Сугак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Сасина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Шминикова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Степанова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Чистенко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Якубовский З.Н.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Степанова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Финакова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Шульгина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Парешнина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Гераськина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Величко О.В.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Сергиенко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Волков И.В.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3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Смирнова Н.С.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4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Фролова О.И.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5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Асютин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Киселева 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7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Ксенафона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8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Буланов В.К.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59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Тихонов А.Н.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60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Толмачева Н.Ю.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6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Григорьева Л.М.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3543A8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Бадырова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</w:p>
        </w:tc>
      </w:tr>
    </w:tbl>
    <w:p w:rsidR="003543A8" w:rsidRPr="00CC2360" w:rsidRDefault="003543A8" w:rsidP="003543A8">
      <w:pPr>
        <w:spacing w:before="120" w:after="312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CC236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 №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064"/>
        <w:gridCol w:w="8844"/>
      </w:tblGrid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Предложения, замечания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Осиновкая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Пересмотреть границы </w:t>
            </w: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придворовой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территории дома 3 корп. 7 (в документах нет согласований с главой управы и представителями соседних домов) не учтены интересы многих людей. 2) Часть дома на первом этаже занимает Хостел (организация без опознавательных знаков, выдающая себя за студенческое общежитие) Как они будут участвовать в межевании </w:t>
            </w: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придворовой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территории.</w:t>
            </w:r>
            <w:proofErr w:type="gramEnd"/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Бочин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Бондарева Л.Н.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Гузей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Курмаев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Сураханян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Михалева 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Морозова М.Я.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Кондрашин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Каткова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В.Н.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границы межевания земельного участка под домом 4 по улице Яблочкова по синим линиям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Сунаева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Чернова Л.И.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Егорова Т.Г.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Пешкова Т.А</w:t>
            </w:r>
            <w:proofErr w:type="gram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Бунчукова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Алексеева Е.Н.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Ананьева М.Н.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Карпова Н.П.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Дьяченко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Кубраков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Чумаков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 межевание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Тарасова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Данилова Ю.А.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Пешкова В.Ю.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Погуляева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Симкина С.В.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Беликова М.Ю.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Сотолюк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Шепелева</w:t>
            </w:r>
            <w:proofErr w:type="spellEnd"/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Романенко С.Н.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Шмаков Г.П.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проект</w:t>
            </w:r>
          </w:p>
        </w:tc>
      </w:tr>
      <w:tr w:rsidR="003543A8" w:rsidRPr="00CC2360" w:rsidTr="0094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Шмакова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543A8" w:rsidRPr="00CC2360" w:rsidRDefault="003543A8" w:rsidP="009435FC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проект</w:t>
            </w:r>
          </w:p>
        </w:tc>
      </w:tr>
    </w:tbl>
    <w:p w:rsidR="003543A8" w:rsidRDefault="003543A8" w:rsidP="003543A8"/>
    <w:p w:rsidR="003543A8" w:rsidRDefault="003543A8" w:rsidP="003543A8"/>
    <w:p w:rsidR="00CE10B2" w:rsidRDefault="003543A8">
      <w:bookmarkStart w:id="0" w:name="_GoBack"/>
      <w:bookmarkEnd w:id="0"/>
    </w:p>
    <w:sectPr w:rsidR="00CE10B2" w:rsidSect="003543A8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C71"/>
    <w:multiLevelType w:val="multilevel"/>
    <w:tmpl w:val="D96A503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61BEB"/>
    <w:multiLevelType w:val="multilevel"/>
    <w:tmpl w:val="8C8440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0369D"/>
    <w:multiLevelType w:val="multilevel"/>
    <w:tmpl w:val="E1B098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82C1A"/>
    <w:multiLevelType w:val="multilevel"/>
    <w:tmpl w:val="14FECF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54A9B"/>
    <w:multiLevelType w:val="multilevel"/>
    <w:tmpl w:val="C8E6A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B71CB"/>
    <w:multiLevelType w:val="multilevel"/>
    <w:tmpl w:val="6BF8881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24EB7"/>
    <w:multiLevelType w:val="multilevel"/>
    <w:tmpl w:val="2BF82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3602BE"/>
    <w:multiLevelType w:val="multilevel"/>
    <w:tmpl w:val="A0DC9E2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70E0F"/>
    <w:multiLevelType w:val="multilevel"/>
    <w:tmpl w:val="1264D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916BCE"/>
    <w:multiLevelType w:val="multilevel"/>
    <w:tmpl w:val="1430B4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0D5268"/>
    <w:multiLevelType w:val="multilevel"/>
    <w:tmpl w:val="29C4AD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417DB"/>
    <w:multiLevelType w:val="multilevel"/>
    <w:tmpl w:val="D644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1B3F52"/>
    <w:multiLevelType w:val="multilevel"/>
    <w:tmpl w:val="F3C2F6B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805C21"/>
    <w:multiLevelType w:val="multilevel"/>
    <w:tmpl w:val="5E5C69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C87668"/>
    <w:multiLevelType w:val="multilevel"/>
    <w:tmpl w:val="AD181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217811"/>
    <w:multiLevelType w:val="multilevel"/>
    <w:tmpl w:val="C80AB9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32F17"/>
    <w:multiLevelType w:val="multilevel"/>
    <w:tmpl w:val="A5843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2B41A7"/>
    <w:multiLevelType w:val="multilevel"/>
    <w:tmpl w:val="AF1C423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562D7A"/>
    <w:multiLevelType w:val="multilevel"/>
    <w:tmpl w:val="97D69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A7B97"/>
    <w:multiLevelType w:val="multilevel"/>
    <w:tmpl w:val="2454F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C1652D"/>
    <w:multiLevelType w:val="multilevel"/>
    <w:tmpl w:val="789C5F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6D129A"/>
    <w:multiLevelType w:val="multilevel"/>
    <w:tmpl w:val="C0784E7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A1CBA"/>
    <w:multiLevelType w:val="multilevel"/>
    <w:tmpl w:val="71BC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6A06CF"/>
    <w:multiLevelType w:val="multilevel"/>
    <w:tmpl w:val="A6548F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9C49EE"/>
    <w:multiLevelType w:val="multilevel"/>
    <w:tmpl w:val="E5767A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E52CD3"/>
    <w:multiLevelType w:val="multilevel"/>
    <w:tmpl w:val="B70851E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312183"/>
    <w:multiLevelType w:val="multilevel"/>
    <w:tmpl w:val="B142DEF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136AE2"/>
    <w:multiLevelType w:val="multilevel"/>
    <w:tmpl w:val="5CBAE8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827B3A"/>
    <w:multiLevelType w:val="multilevel"/>
    <w:tmpl w:val="80B898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683D5C"/>
    <w:multiLevelType w:val="multilevel"/>
    <w:tmpl w:val="6A189D6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F91195"/>
    <w:multiLevelType w:val="multilevel"/>
    <w:tmpl w:val="73AC07C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C801A1"/>
    <w:multiLevelType w:val="multilevel"/>
    <w:tmpl w:val="7850F8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B92952"/>
    <w:multiLevelType w:val="multilevel"/>
    <w:tmpl w:val="B644EF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E21858"/>
    <w:multiLevelType w:val="multilevel"/>
    <w:tmpl w:val="5810D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BC5325"/>
    <w:multiLevelType w:val="multilevel"/>
    <w:tmpl w:val="15F014C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FF3D37"/>
    <w:multiLevelType w:val="multilevel"/>
    <w:tmpl w:val="58BCB8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B27F09"/>
    <w:multiLevelType w:val="multilevel"/>
    <w:tmpl w:val="87D0D3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A902FD"/>
    <w:multiLevelType w:val="multilevel"/>
    <w:tmpl w:val="A2EA94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477DC6"/>
    <w:multiLevelType w:val="multilevel"/>
    <w:tmpl w:val="F022DFD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0D3C56"/>
    <w:multiLevelType w:val="multilevel"/>
    <w:tmpl w:val="FEBE7B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5E12C8"/>
    <w:multiLevelType w:val="multilevel"/>
    <w:tmpl w:val="841CBA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FB6267"/>
    <w:multiLevelType w:val="multilevel"/>
    <w:tmpl w:val="B43A8B8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5364657"/>
    <w:multiLevelType w:val="multilevel"/>
    <w:tmpl w:val="5B2889D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803C3B"/>
    <w:multiLevelType w:val="multilevel"/>
    <w:tmpl w:val="BD3E6E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C413FF"/>
    <w:multiLevelType w:val="multilevel"/>
    <w:tmpl w:val="8E7EEC0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9780D90"/>
    <w:multiLevelType w:val="multilevel"/>
    <w:tmpl w:val="F92241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1A29D0"/>
    <w:multiLevelType w:val="multilevel"/>
    <w:tmpl w:val="B8144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2B3863"/>
    <w:multiLevelType w:val="multilevel"/>
    <w:tmpl w:val="C90687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07CEC"/>
    <w:multiLevelType w:val="multilevel"/>
    <w:tmpl w:val="9118AC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4A5F73"/>
    <w:multiLevelType w:val="multilevel"/>
    <w:tmpl w:val="153CEC1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A62545"/>
    <w:multiLevelType w:val="multilevel"/>
    <w:tmpl w:val="F084A63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E62EB6"/>
    <w:multiLevelType w:val="multilevel"/>
    <w:tmpl w:val="4F26BAD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22414BC"/>
    <w:multiLevelType w:val="multilevel"/>
    <w:tmpl w:val="35F8B2B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3F2E69"/>
    <w:multiLevelType w:val="multilevel"/>
    <w:tmpl w:val="5C38268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24042BC"/>
    <w:multiLevelType w:val="multilevel"/>
    <w:tmpl w:val="E480C6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6153CA"/>
    <w:multiLevelType w:val="multilevel"/>
    <w:tmpl w:val="60B8F4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5A93564"/>
    <w:multiLevelType w:val="multilevel"/>
    <w:tmpl w:val="F44C8E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FD16EF"/>
    <w:multiLevelType w:val="multilevel"/>
    <w:tmpl w:val="16B0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09139E"/>
    <w:multiLevelType w:val="multilevel"/>
    <w:tmpl w:val="73108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1B3CE7"/>
    <w:multiLevelType w:val="multilevel"/>
    <w:tmpl w:val="5D3A06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F7193F"/>
    <w:multiLevelType w:val="multilevel"/>
    <w:tmpl w:val="659CA5A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E491906"/>
    <w:multiLevelType w:val="multilevel"/>
    <w:tmpl w:val="4DF082A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14"/>
  </w:num>
  <w:num w:numId="3">
    <w:abstractNumId w:val="33"/>
  </w:num>
  <w:num w:numId="4">
    <w:abstractNumId w:val="8"/>
  </w:num>
  <w:num w:numId="5">
    <w:abstractNumId w:val="4"/>
  </w:num>
  <w:num w:numId="6">
    <w:abstractNumId w:val="24"/>
  </w:num>
  <w:num w:numId="7">
    <w:abstractNumId w:val="39"/>
  </w:num>
  <w:num w:numId="8">
    <w:abstractNumId w:val="23"/>
  </w:num>
  <w:num w:numId="9">
    <w:abstractNumId w:val="31"/>
  </w:num>
  <w:num w:numId="10">
    <w:abstractNumId w:val="11"/>
  </w:num>
  <w:num w:numId="11">
    <w:abstractNumId w:val="19"/>
  </w:num>
  <w:num w:numId="12">
    <w:abstractNumId w:val="22"/>
  </w:num>
  <w:num w:numId="13">
    <w:abstractNumId w:val="16"/>
  </w:num>
  <w:num w:numId="14">
    <w:abstractNumId w:val="6"/>
  </w:num>
  <w:num w:numId="15">
    <w:abstractNumId w:val="58"/>
  </w:num>
  <w:num w:numId="16">
    <w:abstractNumId w:val="37"/>
  </w:num>
  <w:num w:numId="17">
    <w:abstractNumId w:val="47"/>
  </w:num>
  <w:num w:numId="18">
    <w:abstractNumId w:val="18"/>
  </w:num>
  <w:num w:numId="19">
    <w:abstractNumId w:val="1"/>
  </w:num>
  <w:num w:numId="20">
    <w:abstractNumId w:val="20"/>
  </w:num>
  <w:num w:numId="21">
    <w:abstractNumId w:val="35"/>
  </w:num>
  <w:num w:numId="22">
    <w:abstractNumId w:val="32"/>
  </w:num>
  <w:num w:numId="23">
    <w:abstractNumId w:val="59"/>
  </w:num>
  <w:num w:numId="24">
    <w:abstractNumId w:val="55"/>
  </w:num>
  <w:num w:numId="25">
    <w:abstractNumId w:val="46"/>
  </w:num>
  <w:num w:numId="26">
    <w:abstractNumId w:val="10"/>
  </w:num>
  <w:num w:numId="27">
    <w:abstractNumId w:val="15"/>
  </w:num>
  <w:num w:numId="28">
    <w:abstractNumId w:val="45"/>
  </w:num>
  <w:num w:numId="29">
    <w:abstractNumId w:val="56"/>
  </w:num>
  <w:num w:numId="30">
    <w:abstractNumId w:val="2"/>
  </w:num>
  <w:num w:numId="31">
    <w:abstractNumId w:val="27"/>
  </w:num>
  <w:num w:numId="32">
    <w:abstractNumId w:val="54"/>
  </w:num>
  <w:num w:numId="33">
    <w:abstractNumId w:val="48"/>
  </w:num>
  <w:num w:numId="34">
    <w:abstractNumId w:val="9"/>
  </w:num>
  <w:num w:numId="35">
    <w:abstractNumId w:val="40"/>
  </w:num>
  <w:num w:numId="36">
    <w:abstractNumId w:val="5"/>
  </w:num>
  <w:num w:numId="37">
    <w:abstractNumId w:val="38"/>
  </w:num>
  <w:num w:numId="38">
    <w:abstractNumId w:val="43"/>
  </w:num>
  <w:num w:numId="39">
    <w:abstractNumId w:val="44"/>
  </w:num>
  <w:num w:numId="40">
    <w:abstractNumId w:val="30"/>
  </w:num>
  <w:num w:numId="41">
    <w:abstractNumId w:val="60"/>
  </w:num>
  <w:num w:numId="42">
    <w:abstractNumId w:val="28"/>
  </w:num>
  <w:num w:numId="43">
    <w:abstractNumId w:val="13"/>
  </w:num>
  <w:num w:numId="44">
    <w:abstractNumId w:val="36"/>
  </w:num>
  <w:num w:numId="45">
    <w:abstractNumId w:val="61"/>
  </w:num>
  <w:num w:numId="46">
    <w:abstractNumId w:val="50"/>
  </w:num>
  <w:num w:numId="47">
    <w:abstractNumId w:val="34"/>
  </w:num>
  <w:num w:numId="48">
    <w:abstractNumId w:val="42"/>
  </w:num>
  <w:num w:numId="49">
    <w:abstractNumId w:val="51"/>
  </w:num>
  <w:num w:numId="50">
    <w:abstractNumId w:val="21"/>
  </w:num>
  <w:num w:numId="51">
    <w:abstractNumId w:val="26"/>
  </w:num>
  <w:num w:numId="52">
    <w:abstractNumId w:val="17"/>
  </w:num>
  <w:num w:numId="53">
    <w:abstractNumId w:val="7"/>
  </w:num>
  <w:num w:numId="54">
    <w:abstractNumId w:val="49"/>
  </w:num>
  <w:num w:numId="55">
    <w:abstractNumId w:val="3"/>
  </w:num>
  <w:num w:numId="56">
    <w:abstractNumId w:val="52"/>
  </w:num>
  <w:num w:numId="57">
    <w:abstractNumId w:val="29"/>
  </w:num>
  <w:num w:numId="58">
    <w:abstractNumId w:val="0"/>
  </w:num>
  <w:num w:numId="59">
    <w:abstractNumId w:val="12"/>
  </w:num>
  <w:num w:numId="60">
    <w:abstractNumId w:val="41"/>
  </w:num>
  <w:num w:numId="61">
    <w:abstractNumId w:val="25"/>
  </w:num>
  <w:num w:numId="62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6"/>
    <w:rsid w:val="003543A8"/>
    <w:rsid w:val="004D0E27"/>
    <w:rsid w:val="00675686"/>
    <w:rsid w:val="00714537"/>
    <w:rsid w:val="008437B6"/>
    <w:rsid w:val="008E6894"/>
    <w:rsid w:val="00D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tyrsky.m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project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Коптельцева Татьяна Александровна</dc:creator>
  <cp:keywords/>
  <dc:description/>
  <cp:lastModifiedBy>Коптельцева Татьяна Александровна</cp:lastModifiedBy>
  <cp:revision>2</cp:revision>
  <dcterms:created xsi:type="dcterms:W3CDTF">2018-12-19T10:22:00Z</dcterms:created>
  <dcterms:modified xsi:type="dcterms:W3CDTF">2018-12-19T10:22:00Z</dcterms:modified>
</cp:coreProperties>
</file>